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CA" w:rsidRPr="005551D1" w:rsidRDefault="00DD17CA" w:rsidP="00DD17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D1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DD17CA" w:rsidRPr="005551D1" w:rsidRDefault="00DD17CA" w:rsidP="00DD17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1D1">
        <w:rPr>
          <w:rFonts w:ascii="Times New Roman" w:hAnsi="Times New Roman" w:cs="Times New Roman"/>
          <w:b/>
          <w:sz w:val="24"/>
          <w:szCs w:val="24"/>
        </w:rPr>
        <w:t xml:space="preserve">о конкурсе по присуждению Премии в области развития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51D1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Самарской области «Студент года</w:t>
      </w:r>
      <w:r w:rsidRPr="00D474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5551D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D17CA" w:rsidRPr="00D91975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7CA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975">
        <w:rPr>
          <w:rFonts w:ascii="Times New Roman" w:hAnsi="Times New Roman" w:cs="Times New Roman"/>
          <w:sz w:val="24"/>
          <w:szCs w:val="24"/>
        </w:rPr>
        <w:t xml:space="preserve">Конкурс по присуждению премии в области развития профессионального образования Самарской области «Студент года» (далее – Конкурс) проводится в Самарской области </w:t>
      </w:r>
      <w:r w:rsidRPr="004E69DB">
        <w:rPr>
          <w:rFonts w:ascii="Times New Roman" w:hAnsi="Times New Roman" w:cs="Times New Roman"/>
          <w:b/>
          <w:sz w:val="24"/>
          <w:szCs w:val="24"/>
        </w:rPr>
        <w:t>с 2012 года.</w:t>
      </w:r>
    </w:p>
    <w:p w:rsidR="00DD17CA" w:rsidRPr="00D91975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инициативой о проведении Конкурса выступила </w:t>
      </w:r>
      <w:r w:rsidRPr="004E69DB">
        <w:rPr>
          <w:rFonts w:ascii="Times New Roman" w:hAnsi="Times New Roman" w:cs="Times New Roman"/>
          <w:b/>
          <w:sz w:val="24"/>
          <w:szCs w:val="24"/>
        </w:rPr>
        <w:t>Ассоциация профсоюзных организаций студентов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975">
        <w:rPr>
          <w:rFonts w:ascii="Times New Roman" w:hAnsi="Times New Roman" w:cs="Times New Roman"/>
          <w:sz w:val="24"/>
          <w:szCs w:val="24"/>
        </w:rPr>
        <w:t>В 2012 году Конкурс был поддержан Департаментом культуры, туризма и молодежной политики Администрации городского округа Самара</w:t>
      </w:r>
      <w:r w:rsidRPr="004E69DB">
        <w:rPr>
          <w:rFonts w:ascii="Times New Roman" w:hAnsi="Times New Roman" w:cs="Times New Roman"/>
          <w:sz w:val="24"/>
          <w:szCs w:val="24"/>
        </w:rPr>
        <w:t>.</w:t>
      </w:r>
      <w:r w:rsidRPr="004E69DB">
        <w:rPr>
          <w:rFonts w:ascii="Times New Roman" w:hAnsi="Times New Roman" w:cs="Times New Roman"/>
          <w:b/>
          <w:sz w:val="24"/>
          <w:szCs w:val="24"/>
        </w:rPr>
        <w:t xml:space="preserve"> На Конкурс было подано 105 заявок от 17 высших учебных учреждений</w:t>
      </w:r>
      <w:r w:rsidRPr="00D91975">
        <w:rPr>
          <w:rFonts w:ascii="Times New Roman" w:hAnsi="Times New Roman" w:cs="Times New Roman"/>
          <w:sz w:val="24"/>
          <w:szCs w:val="24"/>
        </w:rPr>
        <w:t xml:space="preserve"> городского округа Самара.</w:t>
      </w:r>
    </w:p>
    <w:p w:rsidR="00DD17CA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9DB">
        <w:rPr>
          <w:rFonts w:ascii="Times New Roman" w:hAnsi="Times New Roman" w:cs="Times New Roman"/>
          <w:b/>
          <w:sz w:val="24"/>
          <w:szCs w:val="24"/>
        </w:rPr>
        <w:t>В 2013 году в Конкурсе</w:t>
      </w:r>
      <w:r w:rsidRPr="00D91975">
        <w:rPr>
          <w:rFonts w:ascii="Times New Roman" w:hAnsi="Times New Roman" w:cs="Times New Roman"/>
          <w:sz w:val="24"/>
          <w:szCs w:val="24"/>
        </w:rPr>
        <w:t xml:space="preserve">, кроме образовательных организаций высшего образования </w:t>
      </w:r>
      <w:r w:rsidRPr="004E69DB">
        <w:rPr>
          <w:rFonts w:ascii="Times New Roman" w:hAnsi="Times New Roman" w:cs="Times New Roman"/>
          <w:b/>
          <w:sz w:val="24"/>
          <w:szCs w:val="24"/>
        </w:rPr>
        <w:t>начали принимать участие и профессиональные образовательные организации.</w:t>
      </w:r>
      <w:r w:rsidRPr="00D91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9DB">
        <w:rPr>
          <w:rFonts w:ascii="Times New Roman" w:hAnsi="Times New Roman" w:cs="Times New Roman"/>
          <w:b/>
          <w:sz w:val="24"/>
          <w:szCs w:val="24"/>
        </w:rPr>
        <w:t>Конкурс становится региональным и проходит при поддержке Губернатора Самарской области</w:t>
      </w:r>
      <w:r w:rsidRPr="00D91975">
        <w:rPr>
          <w:rFonts w:ascii="Times New Roman" w:hAnsi="Times New Roman" w:cs="Times New Roman"/>
          <w:sz w:val="24"/>
          <w:szCs w:val="24"/>
        </w:rPr>
        <w:t xml:space="preserve"> и Правительства Самарской области в лице министерства образования и науки Самарской области и департамента по делам молодежи Самарской области,</w:t>
      </w:r>
      <w:r w:rsidR="009A5776">
        <w:rPr>
          <w:rFonts w:ascii="Times New Roman" w:hAnsi="Times New Roman" w:cs="Times New Roman"/>
          <w:sz w:val="24"/>
          <w:szCs w:val="24"/>
        </w:rPr>
        <w:t xml:space="preserve"> а также совета ректоров вузов С</w:t>
      </w:r>
      <w:r w:rsidRPr="00D91975">
        <w:rPr>
          <w:rFonts w:ascii="Times New Roman" w:hAnsi="Times New Roman" w:cs="Times New Roman"/>
          <w:sz w:val="24"/>
          <w:szCs w:val="24"/>
        </w:rPr>
        <w:t>амарской области, совета директоров профессиональных образовательных организаций Самарской области и государственного бюджетного учреждения Самарской области «Агентство по реализации молодежной политики».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17CA" w:rsidRPr="004E69DB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2013 года традиционным</w:t>
      </w:r>
      <w:r w:rsidRPr="00D91975">
        <w:rPr>
          <w:rFonts w:ascii="Times New Roman" w:hAnsi="Times New Roman" w:cs="Times New Roman"/>
          <w:sz w:val="24"/>
          <w:szCs w:val="24"/>
        </w:rPr>
        <w:t xml:space="preserve"> в торжественной церемонии награждения лауреатов и победителей Конкурса </w:t>
      </w:r>
      <w:r>
        <w:rPr>
          <w:rFonts w:ascii="Times New Roman" w:hAnsi="Times New Roman" w:cs="Times New Roman"/>
          <w:sz w:val="24"/>
          <w:szCs w:val="24"/>
        </w:rPr>
        <w:t>стало</w:t>
      </w:r>
      <w:r w:rsidRPr="00D91975">
        <w:rPr>
          <w:rFonts w:ascii="Times New Roman" w:hAnsi="Times New Roman" w:cs="Times New Roman"/>
          <w:sz w:val="24"/>
          <w:szCs w:val="24"/>
        </w:rPr>
        <w:t xml:space="preserve"> участие Губернатор</w:t>
      </w:r>
      <w:r>
        <w:rPr>
          <w:rFonts w:ascii="Times New Roman" w:hAnsi="Times New Roman" w:cs="Times New Roman"/>
          <w:sz w:val="24"/>
          <w:szCs w:val="24"/>
        </w:rPr>
        <w:t>а Самарской области Николая</w:t>
      </w:r>
      <w:r w:rsidRPr="00D91975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1975">
        <w:rPr>
          <w:rFonts w:ascii="Times New Roman" w:hAnsi="Times New Roman" w:cs="Times New Roman"/>
          <w:sz w:val="24"/>
          <w:szCs w:val="24"/>
        </w:rPr>
        <w:t xml:space="preserve"> Меркушкин</w:t>
      </w:r>
      <w:r>
        <w:rPr>
          <w:rFonts w:ascii="Times New Roman" w:hAnsi="Times New Roman" w:cs="Times New Roman"/>
          <w:sz w:val="24"/>
          <w:szCs w:val="24"/>
        </w:rPr>
        <w:t>а. А все</w:t>
      </w:r>
      <w:r w:rsidRPr="00753760">
        <w:rPr>
          <w:rFonts w:ascii="Times New Roman" w:hAnsi="Times New Roman" w:cs="Times New Roman"/>
          <w:sz w:val="24"/>
          <w:szCs w:val="24"/>
        </w:rPr>
        <w:t xml:space="preserve"> лауреаты Конкурса по рекомендации организаторов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753760">
        <w:rPr>
          <w:rFonts w:ascii="Times New Roman" w:hAnsi="Times New Roman" w:cs="Times New Roman"/>
          <w:sz w:val="24"/>
          <w:szCs w:val="24"/>
        </w:rPr>
        <w:t xml:space="preserve"> представлены на присуждение премии Губернатора Самарской области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75376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и организаций высшего образования</w:t>
      </w:r>
      <w:r w:rsidRPr="00753760">
        <w:rPr>
          <w:rFonts w:ascii="Times New Roman" w:hAnsi="Times New Roman" w:cs="Times New Roman"/>
          <w:sz w:val="24"/>
          <w:szCs w:val="24"/>
        </w:rPr>
        <w:t xml:space="preserve"> в</w:t>
      </w:r>
      <w:r w:rsidRPr="00D91975">
        <w:rPr>
          <w:rFonts w:ascii="Times New Roman" w:hAnsi="Times New Roman" w:cs="Times New Roman"/>
          <w:sz w:val="24"/>
          <w:szCs w:val="24"/>
        </w:rPr>
        <w:t xml:space="preserve"> Самарской области, достигшим значительных результатов в учебной, научной, общественной, культурной и спортивной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DB">
        <w:rPr>
          <w:rFonts w:ascii="Times New Roman" w:hAnsi="Times New Roman" w:cs="Times New Roman"/>
          <w:b/>
          <w:sz w:val="24"/>
          <w:szCs w:val="24"/>
        </w:rPr>
        <w:t xml:space="preserve">Всего в 2013 году на Конкурс было подано 275 заявок от 14 профессиональных образовательных организаций и 16 образовательных организаций высшего образования. </w:t>
      </w:r>
    </w:p>
    <w:p w:rsidR="00DD17CA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9DB">
        <w:rPr>
          <w:rFonts w:ascii="Times New Roman" w:hAnsi="Times New Roman" w:cs="Times New Roman"/>
          <w:b/>
          <w:sz w:val="24"/>
          <w:szCs w:val="24"/>
        </w:rPr>
        <w:t>С 2014 года Исполнительной дирекцией Конкурса выступает муниципальное бюджетное учреждение городского округа Самара «Самарский Дом молодежи»</w:t>
      </w:r>
      <w:r>
        <w:rPr>
          <w:rFonts w:ascii="Times New Roman" w:hAnsi="Times New Roman" w:cs="Times New Roman"/>
          <w:sz w:val="24"/>
          <w:szCs w:val="24"/>
        </w:rPr>
        <w:t xml:space="preserve"> (далее –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«СДМ»). </w:t>
      </w:r>
      <w:r w:rsidRPr="004E69DB">
        <w:rPr>
          <w:rFonts w:ascii="Times New Roman" w:hAnsi="Times New Roman" w:cs="Times New Roman"/>
          <w:b/>
          <w:sz w:val="24"/>
          <w:szCs w:val="24"/>
        </w:rPr>
        <w:t>В этом году на Конкурс было подано 424 заявки от 14 образовательных организаций высшего образования и от 31 профессиональной 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Победитель номинации «Гран-при «Студент года 2014»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получил награду из рук Губернатора Самарской области. 2014 год стал рекордным по количеству поданных заявок на участие. </w:t>
      </w:r>
    </w:p>
    <w:p w:rsidR="00DD17CA" w:rsidRPr="00D02887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9DB">
        <w:rPr>
          <w:rFonts w:ascii="Times New Roman" w:hAnsi="Times New Roman" w:cs="Times New Roman"/>
          <w:b/>
          <w:sz w:val="24"/>
          <w:szCs w:val="24"/>
        </w:rPr>
        <w:t>С 2015 года Конкурс приобрел права регионального этапа Российской национ</w:t>
      </w:r>
      <w:r w:rsidR="009A5776">
        <w:rPr>
          <w:rFonts w:ascii="Times New Roman" w:hAnsi="Times New Roman" w:cs="Times New Roman"/>
          <w:b/>
          <w:sz w:val="24"/>
          <w:szCs w:val="24"/>
        </w:rPr>
        <w:t>альной премии «Студент года</w:t>
      </w:r>
      <w:r w:rsidRPr="004E69DB">
        <w:rPr>
          <w:rFonts w:ascii="Times New Roman" w:hAnsi="Times New Roman" w:cs="Times New Roman"/>
          <w:b/>
          <w:sz w:val="24"/>
          <w:szCs w:val="24"/>
        </w:rPr>
        <w:t>»</w:t>
      </w:r>
      <w:r w:rsidRPr="00D91975">
        <w:rPr>
          <w:rFonts w:ascii="Times New Roman" w:hAnsi="Times New Roman" w:cs="Times New Roman"/>
          <w:sz w:val="24"/>
          <w:szCs w:val="24"/>
        </w:rPr>
        <w:t xml:space="preserve"> и лауреаты и победители Конкурса, а также иные участники Конкурса по рекомендации Жюри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D91975">
        <w:rPr>
          <w:rFonts w:ascii="Times New Roman" w:hAnsi="Times New Roman" w:cs="Times New Roman"/>
          <w:sz w:val="24"/>
          <w:szCs w:val="24"/>
        </w:rPr>
        <w:t xml:space="preserve"> направлены для участия в Российской нац</w:t>
      </w:r>
      <w:r>
        <w:rPr>
          <w:rFonts w:ascii="Times New Roman" w:hAnsi="Times New Roman" w:cs="Times New Roman"/>
          <w:sz w:val="24"/>
          <w:szCs w:val="24"/>
        </w:rPr>
        <w:t xml:space="preserve">иональной премии «Студент года </w:t>
      </w:r>
      <w:r w:rsidRPr="00D91975">
        <w:rPr>
          <w:rFonts w:ascii="Times New Roman" w:hAnsi="Times New Roman" w:cs="Times New Roman"/>
          <w:sz w:val="24"/>
          <w:szCs w:val="24"/>
        </w:rPr>
        <w:t>2015» от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по итогам которой два представителя нашей Губернии стали лауреатами.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организаций, принимающих участие в Конкурсе в 2015 году выросло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673C2">
        <w:rPr>
          <w:rFonts w:ascii="Times New Roman" w:hAnsi="Times New Roman" w:cs="Times New Roman"/>
          <w:sz w:val="24"/>
          <w:szCs w:val="24"/>
        </w:rPr>
        <w:t>43, вузов - 14</w:t>
      </w:r>
      <w:r w:rsidR="00DF5B73">
        <w:rPr>
          <w:rFonts w:ascii="Times New Roman" w:hAnsi="Times New Roman" w:cs="Times New Roman"/>
          <w:sz w:val="24"/>
          <w:szCs w:val="24"/>
        </w:rPr>
        <w:t xml:space="preserve">, а заявок было подано </w:t>
      </w:r>
      <w:r w:rsidR="00793465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>. В 2015 году произошли серьезные изменения среди номинаций Конкурса. Прошло сокращение</w:t>
      </w:r>
      <w:r w:rsidR="00CE61B8">
        <w:rPr>
          <w:rFonts w:ascii="Times New Roman" w:hAnsi="Times New Roman" w:cs="Times New Roman"/>
          <w:sz w:val="24"/>
          <w:szCs w:val="24"/>
        </w:rPr>
        <w:t xml:space="preserve"> количества</w:t>
      </w:r>
      <w:r>
        <w:rPr>
          <w:rFonts w:ascii="Times New Roman" w:hAnsi="Times New Roman" w:cs="Times New Roman"/>
          <w:sz w:val="24"/>
          <w:szCs w:val="24"/>
        </w:rPr>
        <w:t xml:space="preserve"> номинаций </w:t>
      </w:r>
      <w:r w:rsidR="00CE61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15 до 10, что усилило ценность победы. С 2015 года Конкурс проводится по следующим номинациям: «Журналист года», «Студенческая творческая личность года», «Студенческий творческий коллектив года», «Доброволец года», «Интеллект года», «Студенческий лидер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«Студенческий лидер вуза», «Спортсмен года», «Спортивная команда года» и «Гран-при «Студент года 2015».</w:t>
      </w:r>
    </w:p>
    <w:p w:rsidR="00DD17CA" w:rsidRPr="00811A62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прошел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ряд изменений в номинациях Конкурса. Среди самых важных обновлений стоит отметить появление совершенно новой номинации «Молодой профессионал года», в которой оценивались профессиональные навыки и достижения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Традиционная номинация «Интеллект года» сохранилась в перечне номинаций Конкурса, но присуждалась только студентам вузов. Кроме того, в конкурсе 2016 года вновь появилась номинация «Студенческое СМИ года», что вызвано очень высокой </w:t>
      </w:r>
      <w:r w:rsidRPr="00811A62">
        <w:rPr>
          <w:rFonts w:ascii="Times New Roman" w:hAnsi="Times New Roman" w:cs="Times New Roman"/>
          <w:sz w:val="24"/>
          <w:szCs w:val="24"/>
        </w:rPr>
        <w:t>профессиональной активностью СМИ в образовательных организациях области. И, безусловно, наиболее важным стало изменение в оценивании номинации «Гран-при «Студент года 2016». Для победы в данной номинации участнику Конкурса необходимо одержать победу в одной из индивидуальных номинаций Конкурса и показать дополнительные заслуги в соответствии с критериями оценки.</w:t>
      </w:r>
      <w:r w:rsidR="00793465">
        <w:rPr>
          <w:rFonts w:ascii="Times New Roman" w:hAnsi="Times New Roman" w:cs="Times New Roman"/>
          <w:sz w:val="24"/>
          <w:szCs w:val="24"/>
        </w:rPr>
        <w:t xml:space="preserve"> Вступить в борьбу за победу захотели 354 студента Самарской области – име</w:t>
      </w:r>
      <w:r w:rsidR="002313F5">
        <w:rPr>
          <w:rFonts w:ascii="Times New Roman" w:hAnsi="Times New Roman" w:cs="Times New Roman"/>
          <w:sz w:val="24"/>
          <w:szCs w:val="24"/>
        </w:rPr>
        <w:t>нно столько заявок было подано (13 образовательных организаций высшего образования и 50 профессиональных организаций).</w:t>
      </w:r>
    </w:p>
    <w:p w:rsidR="00DD17CA" w:rsidRDefault="00DD17CA" w:rsidP="00DD17CA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65">
        <w:rPr>
          <w:rFonts w:ascii="Times New Roman" w:hAnsi="Times New Roman" w:cs="Times New Roman"/>
          <w:sz w:val="24"/>
          <w:szCs w:val="24"/>
        </w:rPr>
        <w:t>Еще яркой особенностью Конкурса с 2016 года стало проведение очного этапа Конкурса.</w:t>
      </w:r>
      <w:r w:rsidRPr="00811A62">
        <w:rPr>
          <w:rFonts w:ascii="Times New Roman" w:hAnsi="Times New Roman" w:cs="Times New Roman"/>
          <w:sz w:val="24"/>
          <w:szCs w:val="24"/>
        </w:rPr>
        <w:t xml:space="preserve"> </w:t>
      </w:r>
      <w:r w:rsidRPr="008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заочного этапа, участники, прошедшие в очный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рассказать о своих достижениях членам жюри лично. Такое нововведение значительно повысило уровень подготовки студентов для участия во Всероссийской национальной Премии «Студент года 2016». Так, в 2016 году самарские студенты привезли в родной регион 1 победу и 3 </w:t>
      </w:r>
      <w:proofErr w:type="spellStart"/>
      <w:r w:rsidRPr="008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лауреатства</w:t>
      </w:r>
      <w:proofErr w:type="spellEnd"/>
      <w:r w:rsidRPr="0081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15D5" w:rsidRDefault="00125D62" w:rsidP="00594D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Очередной виток развития конкурс получил в 2017 году. </w:t>
      </w:r>
      <w:r w:rsidR="0031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426</w:t>
      </w:r>
      <w:r w:rsidR="001E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было </w:t>
      </w:r>
      <w:r w:rsidR="009E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</w:t>
      </w:r>
      <w:r w:rsidR="000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рекордного количества</w:t>
      </w:r>
      <w:r w:rsidR="00BF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</w:t>
      </w:r>
      <w:r w:rsidR="000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BF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0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F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среди которых </w:t>
      </w:r>
      <w:r w:rsidR="0099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городов и 11 </w:t>
      </w:r>
      <w:r w:rsidR="000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и поселков</w:t>
      </w:r>
      <w:r w:rsidR="0099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значимым достижением этого года стало рекордное количество </w:t>
      </w:r>
      <w:proofErr w:type="gramStart"/>
      <w:r w:rsidR="00EB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участников-</w:t>
      </w:r>
      <w:r w:rsidR="0032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EB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gramEnd"/>
      <w:r w:rsidR="0032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</w:t>
      </w:r>
      <w:r w:rsidR="00B9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</w:t>
      </w:r>
      <w:r w:rsidR="00EB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- 71</w:t>
      </w:r>
      <w:r w:rsidR="00B9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4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образовательных организаций высшего образования и 59 профессиональных образовательных организа</w:t>
      </w:r>
      <w:r w:rsidR="00B9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ций)</w:t>
      </w:r>
      <w:r w:rsidR="00EB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популярной номинацией 2017 </w:t>
      </w:r>
      <w:r w:rsid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стала </w:t>
      </w:r>
      <w:r w:rsidR="0031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«Интеллект года».</w:t>
      </w:r>
      <w:r w:rsid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нее было подано </w:t>
      </w:r>
      <w:r w:rsidR="0031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31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56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0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</w:t>
      </w:r>
      <w:r w:rsidR="00594D0E" w:rsidRPr="00811A6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594D0E" w:rsidRPr="002515D5">
        <w:rPr>
          <w:rFonts w:ascii="Times New Roman" w:hAnsi="Times New Roman" w:cs="Times New Roman"/>
          <w:sz w:val="24"/>
          <w:szCs w:val="24"/>
        </w:rPr>
        <w:t>будут соревноваться в 1</w:t>
      </w:r>
      <w:r w:rsidR="003F4058">
        <w:rPr>
          <w:rFonts w:ascii="Times New Roman" w:hAnsi="Times New Roman" w:cs="Times New Roman"/>
          <w:sz w:val="24"/>
          <w:szCs w:val="24"/>
        </w:rPr>
        <w:t>1</w:t>
      </w:r>
      <w:r w:rsidR="00594D0E" w:rsidRPr="002515D5">
        <w:rPr>
          <w:rFonts w:ascii="Times New Roman" w:hAnsi="Times New Roman" w:cs="Times New Roman"/>
          <w:sz w:val="24"/>
          <w:szCs w:val="24"/>
        </w:rPr>
        <w:t xml:space="preserve"> номинациях</w:t>
      </w:r>
      <w:r w:rsidR="002515D5">
        <w:rPr>
          <w:rFonts w:ascii="Times New Roman" w:hAnsi="Times New Roman" w:cs="Times New Roman"/>
          <w:sz w:val="24"/>
          <w:szCs w:val="24"/>
        </w:rPr>
        <w:t xml:space="preserve">. Таким </w:t>
      </w:r>
      <w:proofErr w:type="gramStart"/>
      <w:r w:rsidR="002515D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2515D5">
        <w:rPr>
          <w:rFonts w:ascii="Times New Roman" w:hAnsi="Times New Roman" w:cs="Times New Roman"/>
          <w:sz w:val="24"/>
          <w:szCs w:val="24"/>
        </w:rPr>
        <w:t xml:space="preserve"> распределены заявки по номинациям</w:t>
      </w:r>
      <w:r w:rsidR="00594D0E" w:rsidRPr="002515D5">
        <w:rPr>
          <w:rFonts w:ascii="Times New Roman" w:hAnsi="Times New Roman" w:cs="Times New Roman"/>
          <w:sz w:val="24"/>
          <w:szCs w:val="24"/>
        </w:rPr>
        <w:t xml:space="preserve">: </w:t>
      </w:r>
      <w:r w:rsidR="002515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03"/>
        <w:gridCol w:w="2257"/>
        <w:gridCol w:w="2353"/>
        <w:gridCol w:w="1653"/>
      </w:tblGrid>
      <w:tr w:rsidR="009A4912" w:rsidRPr="00CC206A" w:rsidTr="009A4912">
        <w:trPr>
          <w:trHeight w:val="349"/>
        </w:trPr>
        <w:tc>
          <w:tcPr>
            <w:tcW w:w="675" w:type="dxa"/>
            <w:vMerge w:val="restart"/>
          </w:tcPr>
          <w:p w:rsidR="009A4912" w:rsidRPr="00CC206A" w:rsidRDefault="009A4912" w:rsidP="00CC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20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0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3" w:type="dxa"/>
            <w:vMerge w:val="restart"/>
          </w:tcPr>
          <w:p w:rsidR="009A4912" w:rsidRPr="00CC206A" w:rsidRDefault="009A4912" w:rsidP="00CC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6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610" w:type="dxa"/>
            <w:gridSpan w:val="2"/>
          </w:tcPr>
          <w:p w:rsidR="009A4912" w:rsidRPr="00CC206A" w:rsidRDefault="009A4912" w:rsidP="00CC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1653" w:type="dxa"/>
            <w:vMerge w:val="restart"/>
          </w:tcPr>
          <w:p w:rsidR="009A4912" w:rsidRPr="00CC206A" w:rsidRDefault="009A4912" w:rsidP="00CC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A4912" w:rsidRPr="00CC206A" w:rsidTr="009A4912">
        <w:trPr>
          <w:trHeight w:val="1631"/>
        </w:trPr>
        <w:tc>
          <w:tcPr>
            <w:tcW w:w="675" w:type="dxa"/>
            <w:vMerge/>
          </w:tcPr>
          <w:p w:rsidR="009A4912" w:rsidRPr="00CC206A" w:rsidRDefault="009A4912" w:rsidP="00CC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A4912" w:rsidRPr="00CC206A" w:rsidRDefault="009A4912" w:rsidP="00CC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9A4912" w:rsidRDefault="009A4912" w:rsidP="009A4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2353" w:type="dxa"/>
          </w:tcPr>
          <w:p w:rsidR="009A4912" w:rsidRDefault="009A4912" w:rsidP="00CC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653" w:type="dxa"/>
            <w:vMerge/>
          </w:tcPr>
          <w:p w:rsidR="009A4912" w:rsidRDefault="009A4912" w:rsidP="00CC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06A" w:rsidTr="009A4912">
        <w:tc>
          <w:tcPr>
            <w:tcW w:w="675" w:type="dxa"/>
          </w:tcPr>
          <w:p w:rsidR="002515D5" w:rsidRPr="00CC206A" w:rsidRDefault="002515D5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D5">
              <w:rPr>
                <w:rFonts w:ascii="Times New Roman" w:hAnsi="Times New Roman" w:cs="Times New Roman"/>
                <w:sz w:val="24"/>
                <w:szCs w:val="24"/>
              </w:rPr>
              <w:t>«Студенческий лидер вуза»</w:t>
            </w:r>
          </w:p>
        </w:tc>
        <w:tc>
          <w:tcPr>
            <w:tcW w:w="2257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3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206A" w:rsidTr="009A4912">
        <w:tc>
          <w:tcPr>
            <w:tcW w:w="675" w:type="dxa"/>
          </w:tcPr>
          <w:p w:rsidR="002515D5" w:rsidRPr="00CC206A" w:rsidRDefault="002515D5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D5">
              <w:rPr>
                <w:rFonts w:ascii="Times New Roman" w:hAnsi="Times New Roman" w:cs="Times New Roman"/>
                <w:sz w:val="24"/>
                <w:szCs w:val="24"/>
              </w:rPr>
              <w:t xml:space="preserve">«Студенческий лидер </w:t>
            </w:r>
            <w:proofErr w:type="spellStart"/>
            <w:r w:rsidRPr="002515D5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251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3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206A" w:rsidTr="009A4912">
        <w:tc>
          <w:tcPr>
            <w:tcW w:w="675" w:type="dxa"/>
          </w:tcPr>
          <w:p w:rsidR="002515D5" w:rsidRPr="00CC206A" w:rsidRDefault="002515D5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 года»</w:t>
            </w:r>
          </w:p>
        </w:tc>
        <w:tc>
          <w:tcPr>
            <w:tcW w:w="2257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3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C206A" w:rsidTr="009A4912">
        <w:tc>
          <w:tcPr>
            <w:tcW w:w="675" w:type="dxa"/>
          </w:tcPr>
          <w:p w:rsidR="002515D5" w:rsidRPr="00CC206A" w:rsidRDefault="002515D5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«Молодой профессионал года»</w:t>
            </w:r>
          </w:p>
        </w:tc>
        <w:tc>
          <w:tcPr>
            <w:tcW w:w="2257" w:type="dxa"/>
          </w:tcPr>
          <w:p w:rsidR="002515D5" w:rsidRDefault="00314A4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</w:tcPr>
          <w:p w:rsidR="002515D5" w:rsidRDefault="00B56123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3" w:type="dxa"/>
          </w:tcPr>
          <w:p w:rsidR="002515D5" w:rsidRDefault="00B56123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C206A" w:rsidTr="009A4912">
        <w:tc>
          <w:tcPr>
            <w:tcW w:w="675" w:type="dxa"/>
          </w:tcPr>
          <w:p w:rsidR="002515D5" w:rsidRPr="00CC206A" w:rsidRDefault="002515D5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«Доброволец года»</w:t>
            </w:r>
          </w:p>
        </w:tc>
        <w:tc>
          <w:tcPr>
            <w:tcW w:w="2257" w:type="dxa"/>
          </w:tcPr>
          <w:p w:rsidR="002515D5" w:rsidRDefault="009A491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3" w:type="dxa"/>
          </w:tcPr>
          <w:p w:rsidR="002515D5" w:rsidRDefault="009A491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3" w:type="dxa"/>
          </w:tcPr>
          <w:p w:rsidR="002515D5" w:rsidRDefault="00B56123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C206A" w:rsidTr="009A4912">
        <w:tc>
          <w:tcPr>
            <w:tcW w:w="675" w:type="dxa"/>
          </w:tcPr>
          <w:p w:rsidR="002515D5" w:rsidRPr="00CC206A" w:rsidRDefault="002515D5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«Спортсмен года»</w:t>
            </w:r>
          </w:p>
        </w:tc>
        <w:tc>
          <w:tcPr>
            <w:tcW w:w="2257" w:type="dxa"/>
          </w:tcPr>
          <w:p w:rsidR="002515D5" w:rsidRDefault="00264C6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3" w:type="dxa"/>
          </w:tcPr>
          <w:p w:rsidR="002515D5" w:rsidRDefault="009A491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3" w:type="dxa"/>
          </w:tcPr>
          <w:p w:rsidR="002515D5" w:rsidRDefault="00264C6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206A" w:rsidTr="009A4912">
        <w:tc>
          <w:tcPr>
            <w:tcW w:w="675" w:type="dxa"/>
          </w:tcPr>
          <w:p w:rsidR="002515D5" w:rsidRPr="00CC206A" w:rsidRDefault="002515D5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D5">
              <w:rPr>
                <w:rFonts w:ascii="Times New Roman" w:hAnsi="Times New Roman" w:cs="Times New Roman"/>
                <w:sz w:val="24"/>
                <w:szCs w:val="24"/>
              </w:rPr>
              <w:t>«Спортивная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года»</w:t>
            </w:r>
          </w:p>
        </w:tc>
        <w:tc>
          <w:tcPr>
            <w:tcW w:w="2257" w:type="dxa"/>
          </w:tcPr>
          <w:p w:rsidR="002515D5" w:rsidRDefault="009A491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2515D5" w:rsidRDefault="009A491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2515D5" w:rsidRDefault="00B56123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2650" w:rsidTr="009A4912">
        <w:tc>
          <w:tcPr>
            <w:tcW w:w="675" w:type="dxa"/>
          </w:tcPr>
          <w:p w:rsidR="00432650" w:rsidRPr="00CC206A" w:rsidRDefault="00432650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2650" w:rsidRP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D5">
              <w:rPr>
                <w:rFonts w:ascii="Times New Roman" w:hAnsi="Times New Roman" w:cs="Times New Roman"/>
                <w:sz w:val="24"/>
                <w:szCs w:val="24"/>
              </w:rPr>
              <w:t>«Студенч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творческая личность года»</w:t>
            </w:r>
          </w:p>
        </w:tc>
        <w:tc>
          <w:tcPr>
            <w:tcW w:w="2257" w:type="dxa"/>
          </w:tcPr>
          <w:p w:rsidR="00432650" w:rsidRDefault="00264C6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3" w:type="dxa"/>
          </w:tcPr>
          <w:p w:rsidR="00432650" w:rsidRDefault="009A491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3" w:type="dxa"/>
          </w:tcPr>
          <w:p w:rsidR="00432650" w:rsidRDefault="00264C6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32650" w:rsidTr="009A4912">
        <w:tc>
          <w:tcPr>
            <w:tcW w:w="675" w:type="dxa"/>
          </w:tcPr>
          <w:p w:rsidR="00432650" w:rsidRPr="00CC206A" w:rsidRDefault="00432650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2650" w:rsidRP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D5">
              <w:rPr>
                <w:rFonts w:ascii="Times New Roman" w:hAnsi="Times New Roman" w:cs="Times New Roman"/>
                <w:sz w:val="24"/>
                <w:szCs w:val="24"/>
              </w:rPr>
              <w:t>«Студенческий творческий коллектив года»</w:t>
            </w:r>
          </w:p>
        </w:tc>
        <w:tc>
          <w:tcPr>
            <w:tcW w:w="2257" w:type="dxa"/>
          </w:tcPr>
          <w:p w:rsidR="00432650" w:rsidRDefault="009A491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3" w:type="dxa"/>
          </w:tcPr>
          <w:p w:rsidR="00432650" w:rsidRDefault="009A491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</w:tcPr>
          <w:p w:rsidR="00432650" w:rsidRDefault="00B56123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2650" w:rsidTr="009A4912">
        <w:tc>
          <w:tcPr>
            <w:tcW w:w="675" w:type="dxa"/>
          </w:tcPr>
          <w:p w:rsidR="00432650" w:rsidRPr="00CC206A" w:rsidRDefault="00432650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2650" w:rsidRP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«Журналист года»</w:t>
            </w:r>
          </w:p>
        </w:tc>
        <w:tc>
          <w:tcPr>
            <w:tcW w:w="2257" w:type="dxa"/>
          </w:tcPr>
          <w:p w:rsidR="00432650" w:rsidRDefault="00FD083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</w:tcPr>
          <w:p w:rsidR="00432650" w:rsidRDefault="00FD083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432650" w:rsidRDefault="00B56123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2650" w:rsidTr="009A4912">
        <w:tc>
          <w:tcPr>
            <w:tcW w:w="675" w:type="dxa"/>
          </w:tcPr>
          <w:p w:rsidR="00432650" w:rsidRPr="00CC206A" w:rsidRDefault="00432650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2650" w:rsidRPr="002515D5" w:rsidRDefault="00432650" w:rsidP="0059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 года»</w:t>
            </w:r>
          </w:p>
        </w:tc>
        <w:tc>
          <w:tcPr>
            <w:tcW w:w="2257" w:type="dxa"/>
          </w:tcPr>
          <w:p w:rsidR="00432650" w:rsidRDefault="00FD083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3" w:type="dxa"/>
          </w:tcPr>
          <w:p w:rsidR="00432650" w:rsidRDefault="00FD0839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432650" w:rsidRDefault="00B56123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4C62" w:rsidTr="009A4912">
        <w:tc>
          <w:tcPr>
            <w:tcW w:w="675" w:type="dxa"/>
          </w:tcPr>
          <w:p w:rsidR="00264C62" w:rsidRPr="00CC206A" w:rsidRDefault="00264C62" w:rsidP="00CC206A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64C62" w:rsidRPr="00264C62" w:rsidRDefault="00264C62" w:rsidP="00264C6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7" w:type="dxa"/>
          </w:tcPr>
          <w:p w:rsidR="00264C62" w:rsidRPr="0096205E" w:rsidRDefault="00264C62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5E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2353" w:type="dxa"/>
          </w:tcPr>
          <w:p w:rsidR="00264C62" w:rsidRPr="0096205E" w:rsidRDefault="0096205E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5E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653" w:type="dxa"/>
          </w:tcPr>
          <w:p w:rsidR="00264C62" w:rsidRPr="0096205E" w:rsidRDefault="0096205E" w:rsidP="00FD0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5E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</w:tr>
    </w:tbl>
    <w:p w:rsidR="002515D5" w:rsidRDefault="002515D5" w:rsidP="00594D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7CA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Удачный опыт проведения очного этапа в 2016 году, показал, что в 2017 году очный этап должен стать неотъемлемой частью Конкурса. В очном этапе студенты смогут показать свои коммуникативные качества. </w:t>
      </w:r>
    </w:p>
    <w:p w:rsidR="003E0272" w:rsidRDefault="003E0272" w:rsidP="003E027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69DB">
        <w:rPr>
          <w:rFonts w:ascii="Times New Roman" w:hAnsi="Times New Roman" w:cs="Times New Roman"/>
          <w:b/>
          <w:sz w:val="24"/>
          <w:szCs w:val="24"/>
        </w:rPr>
        <w:t xml:space="preserve">За всю историю Конкурса были поданы заявки от 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более 70 </w:t>
      </w:r>
      <w:r w:rsidRPr="004E69DB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Самарской области - </w:t>
      </w:r>
      <w:r w:rsidRPr="00CD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Самара, Тольятти, Сызрань, Новокуйбышевск, Похвистнево, </w:t>
      </w:r>
      <w:proofErr w:type="spellStart"/>
      <w:r w:rsidRPr="00CD7E4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CD7E4B">
        <w:rPr>
          <w:rFonts w:ascii="Times New Roman" w:hAnsi="Times New Roman" w:cs="Times New Roman"/>
          <w:sz w:val="24"/>
          <w:szCs w:val="24"/>
        </w:rPr>
        <w:t xml:space="preserve">, </w:t>
      </w:r>
      <w:r w:rsidRPr="00CD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Жигулевск, Отрадный, Чапаевск, Нефтегорск, Октябрьск,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Хворостянка, Богатое, Безенчук, Борское, Большая Глушица,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-Черкассы,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Усть-Кинельский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Кошки, Камышла,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Обшаровка, Усолье, </w:t>
      </w:r>
      <w:r w:rsidRPr="002B5228">
        <w:rPr>
          <w:rFonts w:ascii="Times New Roman" w:hAnsi="Times New Roman" w:cs="Times New Roman"/>
          <w:sz w:val="24"/>
          <w:szCs w:val="24"/>
        </w:rPr>
        <w:t>Сергиевска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3E0272" w:rsidRPr="004E69DB" w:rsidRDefault="003E0272" w:rsidP="003E02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них более 60</w:t>
      </w:r>
      <w:r w:rsidRPr="004E69DB">
        <w:rPr>
          <w:rFonts w:ascii="Times New Roman" w:hAnsi="Times New Roman" w:cs="Times New Roman"/>
          <w:b/>
          <w:sz w:val="24"/>
          <w:szCs w:val="24"/>
        </w:rPr>
        <w:t xml:space="preserve"> профессиональ</w:t>
      </w:r>
      <w:r>
        <w:rPr>
          <w:rFonts w:ascii="Times New Roman" w:hAnsi="Times New Roman" w:cs="Times New Roman"/>
          <w:b/>
          <w:sz w:val="24"/>
          <w:szCs w:val="24"/>
        </w:rPr>
        <w:t>ных образовательных организаций</w:t>
      </w:r>
      <w:r w:rsidRPr="004E69DB">
        <w:rPr>
          <w:rFonts w:ascii="Times New Roman" w:hAnsi="Times New Roman" w:cs="Times New Roman"/>
          <w:b/>
          <w:sz w:val="24"/>
          <w:szCs w:val="24"/>
        </w:rPr>
        <w:t xml:space="preserve"> и 16 организаций высшего образования. В общей сложности в адрес оргкомитета конкурса поступило </w:t>
      </w:r>
      <w:r>
        <w:rPr>
          <w:rFonts w:ascii="Times New Roman" w:hAnsi="Times New Roman" w:cs="Times New Roman"/>
          <w:b/>
          <w:sz w:val="24"/>
          <w:szCs w:val="24"/>
        </w:rPr>
        <w:t>около</w:t>
      </w:r>
      <w:r w:rsidRPr="004E69D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E69DB">
        <w:rPr>
          <w:rFonts w:ascii="Times New Roman" w:hAnsi="Times New Roman" w:cs="Times New Roman"/>
          <w:b/>
          <w:sz w:val="24"/>
          <w:szCs w:val="24"/>
        </w:rPr>
        <w:t>00 заявок в различных направлениях.</w:t>
      </w:r>
    </w:p>
    <w:p w:rsidR="00DD17CA" w:rsidRDefault="00DD17CA" w:rsidP="00DD1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9DB">
        <w:rPr>
          <w:rFonts w:ascii="Times New Roman" w:hAnsi="Times New Roman" w:cs="Times New Roman"/>
          <w:b/>
          <w:sz w:val="24"/>
          <w:szCs w:val="24"/>
        </w:rPr>
        <w:t>Организаторами Конкурса являются:</w:t>
      </w:r>
      <w:r w:rsidRPr="00045DFE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>ьство Самарской области</w:t>
      </w:r>
      <w:r w:rsidRPr="00D91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Самара,</w:t>
      </w:r>
      <w:r w:rsidRPr="00D91975">
        <w:rPr>
          <w:rFonts w:ascii="Times New Roman" w:hAnsi="Times New Roman" w:cs="Times New Roman"/>
          <w:sz w:val="24"/>
          <w:szCs w:val="24"/>
        </w:rPr>
        <w:t xml:space="preserve"> совет ректоров образовательных организаций высшего образования Самарской области, совет директоров профессиональных образовательных организаций Самарской области, Ассоциаци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91975">
        <w:rPr>
          <w:rFonts w:ascii="Times New Roman" w:hAnsi="Times New Roman" w:cs="Times New Roman"/>
          <w:sz w:val="24"/>
          <w:szCs w:val="24"/>
        </w:rPr>
        <w:t>профсоюзных организаций студентов Самарской области,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91975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91975">
        <w:rPr>
          <w:rFonts w:ascii="Times New Roman" w:hAnsi="Times New Roman" w:cs="Times New Roman"/>
          <w:sz w:val="24"/>
          <w:szCs w:val="24"/>
        </w:rPr>
        <w:t xml:space="preserve"> учреждение Самарской области «Агентство по реализации молодежной политики» и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91975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91975">
        <w:rPr>
          <w:rFonts w:ascii="Times New Roman" w:hAnsi="Times New Roman" w:cs="Times New Roman"/>
          <w:sz w:val="24"/>
          <w:szCs w:val="24"/>
        </w:rPr>
        <w:t xml:space="preserve"> учреждение городского округа Самара «Самарский Дом молодежи»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435" w:rsidRDefault="006D4435"/>
    <w:sectPr w:rsidR="006D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10CB"/>
    <w:multiLevelType w:val="hybridMultilevel"/>
    <w:tmpl w:val="F184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B"/>
    <w:rsid w:val="00046FAE"/>
    <w:rsid w:val="00125D62"/>
    <w:rsid w:val="001B45AF"/>
    <w:rsid w:val="001E2A6F"/>
    <w:rsid w:val="002313F5"/>
    <w:rsid w:val="002515D5"/>
    <w:rsid w:val="00264C62"/>
    <w:rsid w:val="002B5228"/>
    <w:rsid w:val="00314A49"/>
    <w:rsid w:val="00327955"/>
    <w:rsid w:val="00335639"/>
    <w:rsid w:val="003E0272"/>
    <w:rsid w:val="003F4058"/>
    <w:rsid w:val="0042485B"/>
    <w:rsid w:val="00432650"/>
    <w:rsid w:val="00467BF5"/>
    <w:rsid w:val="00560AB2"/>
    <w:rsid w:val="00594D0E"/>
    <w:rsid w:val="00642113"/>
    <w:rsid w:val="006673C2"/>
    <w:rsid w:val="006D4435"/>
    <w:rsid w:val="00793465"/>
    <w:rsid w:val="007F2D25"/>
    <w:rsid w:val="008D47B5"/>
    <w:rsid w:val="0096205E"/>
    <w:rsid w:val="00993602"/>
    <w:rsid w:val="009A4912"/>
    <w:rsid w:val="009A5776"/>
    <w:rsid w:val="009E093B"/>
    <w:rsid w:val="009E79D8"/>
    <w:rsid w:val="00B56123"/>
    <w:rsid w:val="00B9356C"/>
    <w:rsid w:val="00BE2481"/>
    <w:rsid w:val="00BF2A60"/>
    <w:rsid w:val="00C30CB7"/>
    <w:rsid w:val="00CC206A"/>
    <w:rsid w:val="00CD7E4B"/>
    <w:rsid w:val="00CE61B8"/>
    <w:rsid w:val="00D16AF5"/>
    <w:rsid w:val="00DC5B7A"/>
    <w:rsid w:val="00DD17CA"/>
    <w:rsid w:val="00DF5B73"/>
    <w:rsid w:val="00E93D6B"/>
    <w:rsid w:val="00EB48F6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cp:lastPrinted>2017-06-02T12:27:00Z</cp:lastPrinted>
  <dcterms:created xsi:type="dcterms:W3CDTF">2017-06-01T12:05:00Z</dcterms:created>
  <dcterms:modified xsi:type="dcterms:W3CDTF">2017-06-05T08:14:00Z</dcterms:modified>
</cp:coreProperties>
</file>